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660" w:lineRule="exact"/>
        <w:jc w:val="center"/>
        <w:textAlignment w:val="baseline"/>
        <w:rPr>
          <w:rStyle w:val="4"/>
          <w:rFonts w:hint="eastAsia" w:ascii="方正小标宋简体" w:hAnsi="方正小标宋简体" w:eastAsia="方正小标宋简体" w:cs="方正小标宋简体"/>
          <w:b w:val="0"/>
          <w:bCs w:val="0"/>
          <w:kern w:val="2"/>
          <w:sz w:val="44"/>
          <w:szCs w:val="44"/>
          <w:lang w:val="en-US" w:eastAsia="zh-CN" w:bidi="ar-SA"/>
        </w:rPr>
      </w:pPr>
      <w:r>
        <w:rPr>
          <w:rStyle w:val="4"/>
          <w:rFonts w:hint="eastAsia" w:ascii="方正小标宋简体" w:hAnsi="方正小标宋简体" w:eastAsia="方正小标宋简体" w:cs="方正小标宋简体"/>
          <w:b w:val="0"/>
          <w:bCs w:val="0"/>
          <w:kern w:val="2"/>
          <w:sz w:val="44"/>
          <w:szCs w:val="44"/>
          <w:lang w:val="en-US" w:eastAsia="zh-CN" w:bidi="ar-SA"/>
        </w:rPr>
        <w:t>第三届广西中华职业教育创新创业大赛</w:t>
      </w:r>
      <w:r>
        <w:rPr>
          <w:rStyle w:val="4"/>
          <w:rFonts w:hint="eastAsia" w:ascii="方正小标宋简体" w:hAnsi="方正小标宋简体" w:eastAsia="方正小标宋简体" w:cs="方正小标宋简体"/>
          <w:b w:val="0"/>
          <w:bCs w:val="0"/>
          <w:kern w:val="2"/>
          <w:sz w:val="44"/>
          <w:szCs w:val="44"/>
          <w:lang w:val="en-US" w:eastAsia="zh-CN" w:bidi="ar-SA"/>
        </w:rPr>
        <w:br w:type="textWrapping"/>
      </w:r>
      <w:r>
        <w:rPr>
          <w:rStyle w:val="4"/>
          <w:rFonts w:hint="eastAsia" w:ascii="方正小标宋简体" w:hAnsi="方正小标宋简体" w:eastAsia="方正小标宋简体" w:cs="方正小标宋简体"/>
          <w:b w:val="0"/>
          <w:bCs w:val="0"/>
          <w:kern w:val="2"/>
          <w:sz w:val="44"/>
          <w:szCs w:val="44"/>
          <w:lang w:val="en-US" w:eastAsia="zh-CN" w:bidi="ar-SA"/>
        </w:rPr>
        <w:t>暨第四届中华职业教育创新创业大赛</w:t>
      </w:r>
      <w:r>
        <w:rPr>
          <w:rStyle w:val="4"/>
          <w:rFonts w:hint="eastAsia" w:ascii="方正小标宋简体" w:hAnsi="方正小标宋简体" w:eastAsia="方正小标宋简体" w:cs="方正小标宋简体"/>
          <w:b w:val="0"/>
          <w:bCs w:val="0"/>
          <w:kern w:val="2"/>
          <w:sz w:val="44"/>
          <w:szCs w:val="44"/>
          <w:lang w:val="en-US" w:eastAsia="zh-CN" w:bidi="ar-SA"/>
        </w:rPr>
        <w:br w:type="textWrapping"/>
      </w:r>
      <w:r>
        <w:rPr>
          <w:rStyle w:val="4"/>
          <w:rFonts w:hint="eastAsia" w:ascii="方正小标宋简体" w:hAnsi="方正小标宋简体" w:eastAsia="方正小标宋简体" w:cs="方正小标宋简体"/>
          <w:b w:val="0"/>
          <w:bCs w:val="0"/>
          <w:kern w:val="2"/>
          <w:sz w:val="44"/>
          <w:szCs w:val="44"/>
          <w:lang w:val="en-US" w:eastAsia="zh-CN" w:bidi="ar-SA"/>
        </w:rPr>
        <w:t>广西区赛的补充通知</w:t>
      </w:r>
    </w:p>
    <w:p>
      <w:pPr>
        <w:spacing w:after="0" w:line="360" w:lineRule="auto"/>
        <w:ind w:firstLineChars="200"/>
        <w:jc w:val="both"/>
        <w:textAlignment w:val="baseline"/>
        <w:rPr>
          <w:rStyle w:val="4"/>
          <w:rFonts w:ascii="Calibri" w:hAnsi="Calibri" w:eastAsia="宋体"/>
          <w:kern w:val="2"/>
          <w:sz w:val="21"/>
          <w:szCs w:val="22"/>
          <w:lang w:val="en-US" w:eastAsia="zh-CN" w:bidi="ar-SA"/>
        </w:rPr>
      </w:pPr>
    </w:p>
    <w:p>
      <w:pPr>
        <w:keepNext w:val="0"/>
        <w:keepLines w:val="0"/>
        <w:pageBreakBefore w:val="0"/>
        <w:widowControl/>
        <w:kinsoku/>
        <w:wordWrap/>
        <w:overflowPunct/>
        <w:topLinePunct w:val="0"/>
        <w:bidi w:val="0"/>
        <w:adjustRightInd/>
        <w:snapToGrid/>
        <w:spacing w:after="0" w:line="560" w:lineRule="exact"/>
        <w:jc w:val="both"/>
        <w:textAlignment w:val="baseline"/>
        <w:rPr>
          <w:rStyle w:val="4"/>
          <w:rFonts w:hint="eastAsia" w:ascii="仿宋" w:hAnsi="仿宋" w:eastAsia="仿宋" w:cs="仿宋"/>
          <w:kern w:val="2"/>
          <w:sz w:val="32"/>
          <w:szCs w:val="32"/>
          <w:lang w:val="en-US" w:eastAsia="zh-CN" w:bidi="ar-SA"/>
        </w:rPr>
      </w:pPr>
      <w:r>
        <w:rPr>
          <w:rStyle w:val="4"/>
          <w:rFonts w:hint="eastAsia" w:ascii="仿宋" w:hAnsi="仿宋" w:eastAsia="仿宋" w:cs="仿宋"/>
          <w:kern w:val="2"/>
          <w:sz w:val="32"/>
          <w:szCs w:val="32"/>
          <w:lang w:val="en-US" w:eastAsia="zh-CN" w:bidi="ar-SA"/>
        </w:rPr>
        <w:t>各高等学校、中等职业学校:</w:t>
      </w:r>
    </w:p>
    <w:p>
      <w:pPr>
        <w:keepNext w:val="0"/>
        <w:keepLines w:val="0"/>
        <w:pageBreakBefore w:val="0"/>
        <w:widowControl/>
        <w:kinsoku/>
        <w:wordWrap/>
        <w:overflowPunct/>
        <w:topLinePunct w:val="0"/>
        <w:bidi w:val="0"/>
        <w:adjustRightInd/>
        <w:snapToGrid/>
        <w:spacing w:after="0" w:line="560" w:lineRule="exact"/>
        <w:ind w:firstLineChars="200"/>
        <w:jc w:val="both"/>
        <w:textAlignment w:val="baseline"/>
        <w:rPr>
          <w:rStyle w:val="4"/>
          <w:rFonts w:hint="eastAsia" w:ascii="仿宋" w:hAnsi="仿宋" w:eastAsia="仿宋" w:cs="仿宋"/>
          <w:kern w:val="2"/>
          <w:sz w:val="32"/>
          <w:szCs w:val="32"/>
          <w:lang w:val="en-US" w:eastAsia="zh-CN" w:bidi="ar-SA"/>
        </w:rPr>
      </w:pPr>
      <w:r>
        <w:rPr>
          <w:rStyle w:val="4"/>
          <w:rFonts w:hint="eastAsia" w:ascii="仿宋" w:hAnsi="仿宋" w:eastAsia="仿宋" w:cs="仿宋"/>
          <w:kern w:val="2"/>
          <w:sz w:val="32"/>
          <w:szCs w:val="32"/>
          <w:lang w:val="en-US" w:eastAsia="zh-CN" w:bidi="ar-SA"/>
        </w:rPr>
        <w:t>为了做好2020年中华职业教育创新创业大赛广西区赛，进一步推动比赛有序进行，根据中华职业教育社《关于举办第四届中华职业教育创新创业大赛的通知》文件精神及安排，现将第三届广西中华职业教育创新创业大赛暨第四届中华职业教育创新创业大赛广西区赛相关事项补充如下:</w:t>
      </w:r>
    </w:p>
    <w:p>
      <w:pPr>
        <w:keepNext w:val="0"/>
        <w:keepLines w:val="0"/>
        <w:pageBreakBefore w:val="0"/>
        <w:widowControl/>
        <w:kinsoku/>
        <w:wordWrap/>
        <w:overflowPunct/>
        <w:topLinePunct w:val="0"/>
        <w:autoSpaceDE w:val="0"/>
        <w:autoSpaceDN w:val="0"/>
        <w:bidi w:val="0"/>
        <w:adjustRightInd/>
        <w:snapToGrid/>
        <w:spacing w:line="560" w:lineRule="exact"/>
        <w:ind w:firstLine="643" w:firstLineChars="200"/>
        <w:textAlignment w:val="baseline"/>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lang w:eastAsia="zh-CN"/>
        </w:rPr>
        <w:t>一</w:t>
      </w:r>
      <w:r>
        <w:rPr>
          <w:rFonts w:hint="eastAsia" w:asciiTheme="minorEastAsia" w:hAnsiTheme="minorEastAsia" w:eastAsiaTheme="minorEastAsia" w:cstheme="minorEastAsia"/>
          <w:b/>
          <w:bCs/>
          <w:color w:val="000000"/>
          <w:sz w:val="32"/>
          <w:szCs w:val="32"/>
        </w:rPr>
        <w:t>、赛程安排</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（一）区赛参赛报名阶段（9月</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9月</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日）</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各学校自行组织校选拔赛，遴选优秀项目，并于9月20日-9月</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日将项目材料上报至区赛系统。</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）区赛网络评审阶段（2020年</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日）</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各校申报的区级项目，评委通过网络评审系统进行打分，决出入围总决赛名单。</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）区赛总决赛（10月</w:t>
      </w:r>
      <w:r>
        <w:rPr>
          <w:rFonts w:hint="eastAsia" w:ascii="仿宋" w:hAnsi="仿宋" w:eastAsia="仿宋" w:cs="仿宋"/>
          <w:color w:val="000000"/>
          <w:sz w:val="32"/>
          <w:szCs w:val="32"/>
          <w:lang w:val="en-US" w:eastAsia="zh-CN"/>
        </w:rPr>
        <w:t>12日</w:t>
      </w:r>
      <w:r>
        <w:rPr>
          <w:rFonts w:hint="eastAsia" w:ascii="仿宋" w:hAnsi="仿宋" w:eastAsia="仿宋" w:cs="仿宋"/>
          <w:color w:val="000000"/>
          <w:sz w:val="32"/>
          <w:szCs w:val="32"/>
        </w:rPr>
        <w:t>）</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采取</w:t>
      </w:r>
      <w:r>
        <w:rPr>
          <w:rFonts w:hint="eastAsia" w:ascii="仿宋" w:hAnsi="仿宋" w:eastAsia="仿宋" w:cs="仿宋"/>
          <w:color w:val="000000"/>
          <w:sz w:val="32"/>
          <w:szCs w:val="32"/>
          <w:lang w:eastAsia="zh-CN"/>
        </w:rPr>
        <w:t>现场赛</w:t>
      </w:r>
      <w:r>
        <w:rPr>
          <w:rFonts w:hint="eastAsia" w:ascii="仿宋" w:hAnsi="仿宋" w:eastAsia="仿宋" w:cs="仿宋"/>
          <w:color w:val="000000"/>
          <w:sz w:val="32"/>
          <w:szCs w:val="32"/>
        </w:rPr>
        <w:t>的方式，</w:t>
      </w:r>
      <w:r>
        <w:rPr>
          <w:rFonts w:hint="eastAsia" w:ascii="仿宋" w:hAnsi="仿宋" w:eastAsia="仿宋" w:cs="仿宋"/>
          <w:color w:val="000000"/>
          <w:sz w:val="32"/>
          <w:szCs w:val="32"/>
          <w:lang w:val="en-US" w:eastAsia="zh-CN"/>
        </w:rPr>
        <w:t>10月12日在广西外国语学院举行</w:t>
      </w:r>
      <w:r>
        <w:rPr>
          <w:rFonts w:hint="eastAsia" w:ascii="仿宋" w:hAnsi="仿宋" w:eastAsia="仿宋" w:cs="仿宋"/>
          <w:color w:val="000000"/>
          <w:sz w:val="32"/>
          <w:szCs w:val="32"/>
        </w:rPr>
        <w:t>。</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ind w:firstLineChars="200"/>
        <w:jc w:val="both"/>
        <w:textAlignment w:val="baseline"/>
        <w:rPr>
          <w:rStyle w:val="4"/>
          <w:rFonts w:hint="eastAsia" w:asciiTheme="minorEastAsia" w:hAnsiTheme="minorEastAsia" w:eastAsiaTheme="minorEastAsia" w:cstheme="minorEastAsia"/>
          <w:b/>
          <w:bCs/>
          <w:kern w:val="2"/>
          <w:sz w:val="32"/>
          <w:szCs w:val="32"/>
          <w:lang w:val="en-US" w:eastAsia="zh-CN" w:bidi="ar-SA"/>
        </w:rPr>
      </w:pPr>
      <w:r>
        <w:rPr>
          <w:rStyle w:val="4"/>
          <w:rFonts w:hint="eastAsia" w:asciiTheme="minorEastAsia" w:hAnsiTheme="minorEastAsia" w:eastAsiaTheme="minorEastAsia" w:cstheme="minorEastAsia"/>
          <w:b/>
          <w:bCs/>
          <w:kern w:val="2"/>
          <w:sz w:val="32"/>
          <w:szCs w:val="32"/>
          <w:lang w:val="en-US" w:eastAsia="zh-CN" w:bidi="ar-SA"/>
        </w:rPr>
        <w:t>二、大赛培训安排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（一）学生培训。根据疫情防控要求，学生培训定为线上培训。第一次培训9月中旬，第二次培训在报名截止后，具体时间另行通知。培训分两个组：1.中职组2.高职组和应用技术型本科组。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（二）指导教师培训。培训形式定位线下培训，具体地点安排根据各校报名情况调整，培训时间为9月18日，分为两个组：1.中职组（下午：14:30—17:30），2.高职组和应用技术型本科组（上午9:00—12:00）。</w:t>
      </w: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以上师生培训均为免费，食宿自理。</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ind w:firstLineChars="200"/>
        <w:jc w:val="both"/>
        <w:textAlignment w:val="baseline"/>
        <w:rPr>
          <w:rStyle w:val="4"/>
          <w:rFonts w:hint="eastAsia" w:asciiTheme="minorEastAsia" w:hAnsiTheme="minorEastAsia" w:eastAsiaTheme="minorEastAsia" w:cstheme="minorEastAsia"/>
          <w:b/>
          <w:bCs/>
          <w:kern w:val="2"/>
          <w:sz w:val="32"/>
          <w:szCs w:val="32"/>
          <w:lang w:val="en-US" w:eastAsia="zh-CN" w:bidi="ar-SA"/>
        </w:rPr>
      </w:pPr>
      <w:r>
        <w:rPr>
          <w:rStyle w:val="4"/>
          <w:rFonts w:hint="eastAsia" w:asciiTheme="minorEastAsia" w:hAnsiTheme="minorEastAsia" w:eastAsiaTheme="minorEastAsia" w:cstheme="minorEastAsia"/>
          <w:b/>
          <w:bCs/>
          <w:kern w:val="2"/>
          <w:sz w:val="32"/>
          <w:szCs w:val="32"/>
          <w:lang w:val="en-US" w:eastAsia="zh-CN" w:bidi="ar-SA"/>
        </w:rPr>
        <w:t>三、晋级名额设置</w:t>
      </w:r>
    </w:p>
    <w:p>
      <w:pPr>
        <w:keepNext w:val="0"/>
        <w:keepLines w:val="0"/>
        <w:pageBreakBefore w:val="0"/>
        <w:widowControl/>
        <w:kinsoku/>
        <w:wordWrap/>
        <w:overflowPunct/>
        <w:topLinePunct w:val="0"/>
        <w:bidi w:val="0"/>
        <w:adjustRightInd/>
        <w:snapToGrid/>
        <w:spacing w:after="0" w:line="560" w:lineRule="exact"/>
        <w:ind w:firstLineChars="200"/>
        <w:jc w:val="both"/>
        <w:textAlignment w:val="baseline"/>
        <w:rPr>
          <w:rStyle w:val="4"/>
          <w:rFonts w:hint="eastAsia" w:ascii="仿宋" w:hAnsi="仿宋" w:eastAsia="仿宋" w:cs="仿宋"/>
          <w:kern w:val="2"/>
          <w:sz w:val="32"/>
          <w:szCs w:val="32"/>
          <w:lang w:val="en-US" w:eastAsia="zh-CN" w:bidi="ar-SA"/>
        </w:rPr>
      </w:pPr>
      <w:r>
        <w:rPr>
          <w:rStyle w:val="4"/>
          <w:rFonts w:hint="eastAsia" w:ascii="仿宋" w:hAnsi="仿宋" w:eastAsia="仿宋" w:cs="仿宋"/>
          <w:kern w:val="2"/>
          <w:sz w:val="32"/>
          <w:szCs w:val="32"/>
          <w:lang w:val="en-US" w:eastAsia="zh-CN" w:bidi="ar-SA"/>
        </w:rPr>
        <w:t>各学校参加区赛网评名额将根据各学校参赛项目数量进行分配</w:t>
      </w:r>
      <w:bookmarkStart w:id="0" w:name="_GoBack"/>
      <w:bookmarkEnd w:id="0"/>
      <w:r>
        <w:rPr>
          <w:rStyle w:val="4"/>
          <w:rFonts w:hint="eastAsia" w:ascii="仿宋" w:hAnsi="仿宋" w:eastAsia="仿宋" w:cs="仿宋"/>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ind w:firstLineChars="200"/>
        <w:jc w:val="both"/>
        <w:textAlignment w:val="baseline"/>
        <w:rPr>
          <w:rStyle w:val="4"/>
          <w:rFonts w:hint="eastAsia" w:asciiTheme="minorEastAsia" w:hAnsiTheme="minorEastAsia" w:eastAsiaTheme="minorEastAsia" w:cstheme="minorEastAsia"/>
          <w:b/>
          <w:bCs/>
          <w:kern w:val="2"/>
          <w:sz w:val="32"/>
          <w:szCs w:val="32"/>
          <w:lang w:val="en-US" w:eastAsia="zh-CN" w:bidi="ar-SA"/>
        </w:rPr>
      </w:pPr>
      <w:r>
        <w:rPr>
          <w:rStyle w:val="4"/>
          <w:rFonts w:hint="eastAsia" w:asciiTheme="minorEastAsia" w:hAnsiTheme="minorEastAsia" w:eastAsiaTheme="minorEastAsia" w:cstheme="minorEastAsia"/>
          <w:b/>
          <w:bCs/>
          <w:kern w:val="2"/>
          <w:sz w:val="32"/>
          <w:szCs w:val="32"/>
          <w:lang w:val="en-US" w:eastAsia="zh-CN" w:bidi="ar-SA"/>
        </w:rPr>
        <w:t>四、奖项设置</w:t>
      </w:r>
    </w:p>
    <w:p>
      <w:pPr>
        <w:keepNext w:val="0"/>
        <w:keepLines w:val="0"/>
        <w:pageBreakBefore w:val="0"/>
        <w:widowControl/>
        <w:kinsoku/>
        <w:wordWrap/>
        <w:overflowPunct/>
        <w:topLinePunct w:val="0"/>
        <w:bidi w:val="0"/>
        <w:adjustRightInd/>
        <w:snapToGrid/>
        <w:spacing w:after="0" w:line="560" w:lineRule="exact"/>
        <w:ind w:firstLineChars="200"/>
        <w:jc w:val="both"/>
        <w:textAlignment w:val="baseline"/>
        <w:rPr>
          <w:rStyle w:val="4"/>
          <w:rFonts w:hint="eastAsia" w:ascii="仿宋" w:hAnsi="仿宋" w:eastAsia="仿宋" w:cs="仿宋"/>
          <w:kern w:val="2"/>
          <w:sz w:val="32"/>
          <w:szCs w:val="32"/>
          <w:lang w:val="en-US" w:eastAsia="zh-CN" w:bidi="ar-SA"/>
        </w:rPr>
      </w:pPr>
      <w:r>
        <w:rPr>
          <w:rStyle w:val="4"/>
          <w:rFonts w:hint="eastAsia" w:ascii="仿宋" w:hAnsi="仿宋" w:eastAsia="仿宋" w:cs="仿宋"/>
          <w:kern w:val="2"/>
          <w:sz w:val="32"/>
          <w:szCs w:val="32"/>
          <w:lang w:val="en-US" w:eastAsia="zh-CN" w:bidi="ar-SA"/>
        </w:rPr>
        <w:t>(一)中职组、高职组、应用技术本科组分设金、银、铜奖，其中：</w:t>
      </w:r>
    </w:p>
    <w:p>
      <w:pPr>
        <w:keepNext w:val="0"/>
        <w:keepLines w:val="0"/>
        <w:pageBreakBefore w:val="0"/>
        <w:widowControl/>
        <w:kinsoku/>
        <w:wordWrap/>
        <w:overflowPunct/>
        <w:topLinePunct w:val="0"/>
        <w:bidi w:val="0"/>
        <w:adjustRightInd/>
        <w:snapToGrid/>
        <w:spacing w:after="0" w:line="560" w:lineRule="exact"/>
        <w:ind w:firstLineChars="200"/>
        <w:jc w:val="both"/>
        <w:textAlignment w:val="baseline"/>
        <w:rPr>
          <w:rStyle w:val="4"/>
          <w:rFonts w:hint="eastAsia" w:ascii="仿宋" w:hAnsi="仿宋" w:eastAsia="仿宋" w:cs="仿宋"/>
          <w:spacing w:val="-20"/>
          <w:kern w:val="2"/>
          <w:sz w:val="32"/>
          <w:szCs w:val="32"/>
          <w:lang w:val="en-US" w:eastAsia="zh-CN" w:bidi="ar-SA"/>
        </w:rPr>
      </w:pPr>
      <w:r>
        <w:rPr>
          <w:rStyle w:val="4"/>
          <w:rFonts w:hint="eastAsia" w:ascii="仿宋" w:hAnsi="仿宋" w:eastAsia="仿宋" w:cs="仿宋"/>
          <w:spacing w:val="-20"/>
          <w:kern w:val="2"/>
          <w:sz w:val="32"/>
          <w:szCs w:val="32"/>
          <w:lang w:val="en-US" w:eastAsia="zh-CN" w:bidi="ar-SA"/>
        </w:rPr>
        <w:t>1.金奖50个（应用型本科15个，高职20个，中职15个）；</w:t>
      </w:r>
    </w:p>
    <w:p>
      <w:pPr>
        <w:keepNext w:val="0"/>
        <w:keepLines w:val="0"/>
        <w:pageBreakBefore w:val="0"/>
        <w:widowControl/>
        <w:kinsoku/>
        <w:wordWrap/>
        <w:overflowPunct/>
        <w:topLinePunct w:val="0"/>
        <w:bidi w:val="0"/>
        <w:adjustRightInd/>
        <w:snapToGrid/>
        <w:spacing w:after="0" w:line="560" w:lineRule="exact"/>
        <w:ind w:firstLineChars="200"/>
        <w:jc w:val="both"/>
        <w:textAlignment w:val="baseline"/>
        <w:rPr>
          <w:rStyle w:val="4"/>
          <w:rFonts w:hint="eastAsia" w:ascii="仿宋" w:hAnsi="仿宋" w:eastAsia="仿宋" w:cs="仿宋"/>
          <w:spacing w:val="-20"/>
          <w:kern w:val="2"/>
          <w:sz w:val="32"/>
          <w:szCs w:val="32"/>
          <w:lang w:val="en-US" w:eastAsia="zh-CN" w:bidi="ar-SA"/>
        </w:rPr>
      </w:pPr>
      <w:r>
        <w:rPr>
          <w:rStyle w:val="4"/>
          <w:rFonts w:hint="eastAsia" w:ascii="仿宋" w:hAnsi="仿宋" w:eastAsia="仿宋" w:cs="仿宋"/>
          <w:spacing w:val="-20"/>
          <w:kern w:val="2"/>
          <w:sz w:val="32"/>
          <w:szCs w:val="32"/>
          <w:lang w:val="en-US" w:eastAsia="zh-CN" w:bidi="ar-SA"/>
        </w:rPr>
        <w:t>2.银奖80个（应用型本科25个，高职30个，中职25个）；</w:t>
      </w:r>
    </w:p>
    <w:p>
      <w:pPr>
        <w:keepNext w:val="0"/>
        <w:keepLines w:val="0"/>
        <w:pageBreakBefore w:val="0"/>
        <w:widowControl/>
        <w:kinsoku/>
        <w:wordWrap/>
        <w:overflowPunct/>
        <w:topLinePunct w:val="0"/>
        <w:bidi w:val="0"/>
        <w:adjustRightInd/>
        <w:snapToGrid/>
        <w:spacing w:after="0" w:line="560" w:lineRule="exact"/>
        <w:ind w:firstLineChars="200"/>
        <w:jc w:val="both"/>
        <w:textAlignment w:val="baseline"/>
        <w:rPr>
          <w:rStyle w:val="4"/>
          <w:rFonts w:hint="eastAsia" w:ascii="仿宋" w:hAnsi="仿宋" w:eastAsia="仿宋" w:cs="仿宋"/>
          <w:spacing w:val="-20"/>
          <w:kern w:val="2"/>
          <w:sz w:val="32"/>
          <w:szCs w:val="32"/>
          <w:lang w:val="en-US" w:eastAsia="zh-CN" w:bidi="ar-SA"/>
        </w:rPr>
      </w:pPr>
      <w:r>
        <w:rPr>
          <w:rStyle w:val="4"/>
          <w:rFonts w:hint="eastAsia" w:ascii="仿宋" w:hAnsi="仿宋" w:eastAsia="仿宋" w:cs="仿宋"/>
          <w:spacing w:val="-20"/>
          <w:kern w:val="2"/>
          <w:sz w:val="32"/>
          <w:szCs w:val="32"/>
          <w:lang w:val="en-US" w:eastAsia="zh-CN" w:bidi="ar-SA"/>
        </w:rPr>
        <w:t>3.铜奖120个（应用型本科40个，高职40个，中职40个）；</w:t>
      </w:r>
    </w:p>
    <w:p>
      <w:pPr>
        <w:keepNext w:val="0"/>
        <w:keepLines w:val="0"/>
        <w:pageBreakBefore w:val="0"/>
        <w:widowControl/>
        <w:kinsoku/>
        <w:wordWrap/>
        <w:overflowPunct/>
        <w:topLinePunct w:val="0"/>
        <w:bidi w:val="0"/>
        <w:adjustRightInd/>
        <w:snapToGrid/>
        <w:spacing w:after="0" w:line="560" w:lineRule="exact"/>
        <w:ind w:firstLineChars="200"/>
        <w:jc w:val="both"/>
        <w:textAlignment w:val="baseline"/>
        <w:rPr>
          <w:rStyle w:val="4"/>
          <w:rFonts w:hint="eastAsia" w:ascii="仿宋" w:hAnsi="仿宋" w:eastAsia="仿宋" w:cs="仿宋"/>
          <w:kern w:val="2"/>
          <w:sz w:val="32"/>
          <w:szCs w:val="32"/>
          <w:lang w:val="en-US" w:eastAsia="zh-CN" w:bidi="ar-SA"/>
        </w:rPr>
      </w:pPr>
      <w:r>
        <w:rPr>
          <w:rStyle w:val="4"/>
          <w:rFonts w:hint="eastAsia" w:ascii="仿宋" w:hAnsi="仿宋" w:eastAsia="仿宋" w:cs="仿宋"/>
          <w:kern w:val="2"/>
          <w:sz w:val="32"/>
          <w:szCs w:val="32"/>
          <w:lang w:val="en-US" w:eastAsia="zh-CN" w:bidi="ar-SA"/>
        </w:rPr>
        <w:t>4.优秀创新创业导师若干名奖。根据参赛成绩分配。</w:t>
      </w:r>
    </w:p>
    <w:p>
      <w:pPr>
        <w:keepNext w:val="0"/>
        <w:keepLines w:val="0"/>
        <w:pageBreakBefore w:val="0"/>
        <w:widowControl/>
        <w:kinsoku/>
        <w:wordWrap/>
        <w:overflowPunct/>
        <w:topLinePunct w:val="0"/>
        <w:bidi w:val="0"/>
        <w:adjustRightInd/>
        <w:snapToGrid/>
        <w:spacing w:after="0" w:line="560" w:lineRule="exact"/>
        <w:ind w:firstLineChars="200"/>
        <w:jc w:val="both"/>
        <w:textAlignment w:val="baseline"/>
        <w:rPr>
          <w:rStyle w:val="4"/>
          <w:rFonts w:hint="eastAsia" w:ascii="仿宋" w:hAnsi="仿宋" w:eastAsia="仿宋" w:cs="仿宋"/>
          <w:kern w:val="2"/>
          <w:sz w:val="32"/>
          <w:szCs w:val="32"/>
          <w:lang w:val="en-US" w:eastAsia="zh-CN" w:bidi="ar-SA"/>
        </w:rPr>
      </w:pPr>
      <w:r>
        <w:rPr>
          <w:rStyle w:val="4"/>
          <w:rFonts w:hint="eastAsia" w:ascii="仿宋" w:hAnsi="仿宋" w:eastAsia="仿宋" w:cs="仿宋"/>
          <w:kern w:val="2"/>
          <w:sz w:val="32"/>
          <w:szCs w:val="32"/>
          <w:lang w:val="en-US" w:eastAsia="zh-CN" w:bidi="ar-SA"/>
        </w:rPr>
        <w:t>(二)优秀组织奖。优秀组织奖在承办单位与参赛学校中评选。</w:t>
      </w:r>
    </w:p>
    <w:p>
      <w:pPr>
        <w:spacing w:line="560" w:lineRule="exact"/>
        <w:jc w:val="right"/>
        <w:rPr>
          <w:rFonts w:hint="eastAsia" w:ascii="宋体" w:hAnsi="宋体" w:cs="宋体"/>
          <w:sz w:val="28"/>
          <w:szCs w:val="28"/>
          <w:lang w:val="en-US" w:eastAsia="zh-CN"/>
        </w:rPr>
      </w:pPr>
    </w:p>
    <w:p>
      <w:pPr>
        <w:spacing w:line="560" w:lineRule="exact"/>
        <w:jc w:val="right"/>
        <w:rPr>
          <w:rFonts w:hint="eastAsia" w:ascii="宋体" w:hAnsi="宋体" w:cs="宋体"/>
          <w:sz w:val="28"/>
          <w:szCs w:val="28"/>
          <w:lang w:val="en-US" w:eastAsia="zh-CN"/>
        </w:rPr>
      </w:pPr>
      <w:r>
        <w:rPr>
          <w:rFonts w:hint="eastAsia" w:ascii="宋体" w:hAnsi="宋体" w:cs="宋体"/>
          <w:sz w:val="28"/>
          <w:szCs w:val="28"/>
          <w:lang w:val="en-US" w:eastAsia="zh-CN"/>
        </w:rPr>
        <w:t xml:space="preserve"> 第三届广西中华职业教育创新创业大赛 </w:t>
      </w:r>
    </w:p>
    <w:p>
      <w:pPr>
        <w:spacing w:line="560" w:lineRule="exact"/>
        <w:jc w:val="right"/>
        <w:rPr>
          <w:rFonts w:hint="eastAsia" w:ascii="仿宋" w:hAnsi="仿宋" w:eastAsia="仿宋" w:cs="仿宋"/>
          <w:sz w:val="32"/>
          <w:szCs w:val="32"/>
          <w:lang w:eastAsia="zh-CN"/>
        </w:rPr>
      </w:pPr>
      <w:r>
        <w:rPr>
          <w:rFonts w:hint="eastAsia" w:ascii="宋体" w:hAnsi="宋体" w:cs="宋体"/>
          <w:sz w:val="28"/>
          <w:szCs w:val="28"/>
          <w:lang w:val="en-US" w:eastAsia="zh-CN"/>
        </w:rPr>
        <w:t xml:space="preserve"> 暨第四届中华职业教育创新创业大赛广西区赛组委会</w:t>
      </w:r>
    </w:p>
    <w:p>
      <w:pPr>
        <w:keepNext w:val="0"/>
        <w:keepLines w:val="0"/>
        <w:pageBreakBefore w:val="0"/>
        <w:widowControl/>
        <w:kinsoku/>
        <w:wordWrap/>
        <w:overflowPunct/>
        <w:topLinePunct w:val="0"/>
        <w:bidi w:val="0"/>
        <w:adjustRightInd/>
        <w:snapToGrid/>
        <w:spacing w:after="0" w:line="560" w:lineRule="exact"/>
        <w:ind w:firstLineChars="200"/>
        <w:jc w:val="center"/>
        <w:textAlignment w:val="baseline"/>
        <w:rPr>
          <w:rStyle w:val="4"/>
          <w:rFonts w:hint="eastAsia" w:asciiTheme="minorEastAsia" w:hAnsiTheme="minorEastAsia" w:eastAsiaTheme="minorEastAsia" w:cstheme="minorEastAsia"/>
          <w:kern w:val="2"/>
          <w:sz w:val="32"/>
          <w:szCs w:val="32"/>
          <w:lang w:val="en-US" w:eastAsia="zh-CN" w:bidi="ar-SA"/>
        </w:rPr>
      </w:pPr>
      <w:r>
        <w:rPr>
          <w:rStyle w:val="4"/>
          <w:rFonts w:hint="eastAsia" w:asciiTheme="minorEastAsia" w:hAnsiTheme="minorEastAsia" w:eastAsiaTheme="minorEastAsia" w:cstheme="minorEastAsia"/>
          <w:kern w:val="2"/>
          <w:sz w:val="32"/>
          <w:szCs w:val="32"/>
          <w:lang w:val="en-US" w:eastAsia="zh-CN" w:bidi="ar-SA"/>
        </w:rPr>
        <w:t xml:space="preserve">                              2020年9月9日</w:t>
      </w: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F5BE8"/>
    <w:rsid w:val="02D95E17"/>
    <w:rsid w:val="08785444"/>
    <w:rsid w:val="08BC4F08"/>
    <w:rsid w:val="0B5701EF"/>
    <w:rsid w:val="0BFF71C3"/>
    <w:rsid w:val="114933C9"/>
    <w:rsid w:val="12C761D1"/>
    <w:rsid w:val="1AD8388C"/>
    <w:rsid w:val="1D0162BF"/>
    <w:rsid w:val="22823432"/>
    <w:rsid w:val="25BB3A57"/>
    <w:rsid w:val="2764679F"/>
    <w:rsid w:val="2F0B5D2D"/>
    <w:rsid w:val="5AA740A4"/>
    <w:rsid w:val="5F567C14"/>
    <w:rsid w:val="604D5BBC"/>
    <w:rsid w:val="614C26C7"/>
    <w:rsid w:val="659A0D7A"/>
    <w:rsid w:val="65F23B54"/>
    <w:rsid w:val="6D4E6C0D"/>
    <w:rsid w:val="7B67560C"/>
    <w:rsid w:val="7CBF0B01"/>
    <w:rsid w:val="7E78406F"/>
    <w:rsid w:val="7F284A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jc w:val="both"/>
      <w:textAlignment w:val="baseline"/>
    </w:pPr>
    <w:rPr>
      <w:rFonts w:ascii="Calibri" w:hAnsi="Calibri" w:eastAsia="宋体"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rPr>
      <w:rFonts w:ascii="Calibri" w:hAnsi="Calibri" w:eastAsia="宋体"/>
    </w:rPr>
  </w:style>
  <w:style w:type="table" w:customStyle="1" w:styleId="5">
    <w:name w:val="TableNormal"/>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494</Words>
  <Characters>523</Characters>
  <Paragraphs>31</Paragraphs>
  <TotalTime>9</TotalTime>
  <ScaleCrop>false</ScaleCrop>
  <LinksUpToDate>false</LinksUpToDate>
  <CharactersWithSpaces>523</CharactersWithSpaces>
  <Application>WPS Office_11.1.0.9828_F1E327BC-269C-435d-A152-05C5408002CA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2020-08-31T02:16:00Z</dcterms:created>
  <dc:creator>WPS Office</dc:creator>
  <cp:lastModifiedBy>朱明</cp:lastModifiedBy>
  <cp:lastPrinted>2020-09-11T00:57:00Z</cp:lastPrinted>
  <dcterms:modified xsi:type="dcterms:W3CDTF">2020-09-12T02:02:42Z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